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Возвратный лизинг автомобиля: как не стать жертвой мошенников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pacing w:val="-4"/>
          <w:sz w:val="28"/>
          <w:szCs w:val="27"/>
        </w:rPr>
      </w:pPr>
      <w:r>
        <w:rPr>
          <w:rFonts w:cs="Times New Roman" w:ascii="Times New Roman" w:hAnsi="Times New Roman"/>
          <w:spacing w:val="-4"/>
          <w:sz w:val="28"/>
          <w:szCs w:val="27"/>
        </w:rPr>
      </w:r>
    </w:p>
    <w:p>
      <w:pPr>
        <w:pStyle w:val="NormalWeb"/>
        <w:shd w:val="clear" w:color="auto" w:fill="FFFFFF"/>
        <w:spacing w:beforeAutospacing="0" w:before="120" w:afterAutospacing="0" w:after="312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В последние годы набирает популярность услуга возвратного (обратного) лизинга транспорта. Возможность существования правовой конструкции возвратного лизинга обосновывается абзацем четвертым пункта 1 статьи 4 Федерального закона от 29.10.1998 № 164-ФЗ «О финансовой аренде (лизинге)», в соответствии с которым продавец может одновременно выступать в качестве лизингополучателя в пределах одного лизингового правоотношения.</w:t>
      </w:r>
    </w:p>
    <w:p>
      <w:pPr>
        <w:pStyle w:val="NormalWeb"/>
        <w:shd w:val="clear" w:color="auto" w:fill="FFFFFF"/>
        <w:spacing w:beforeAutospacing="0" w:before="120" w:afterAutospacing="0" w:after="312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Возвратный (обратный) лизинг является одним из видов финансовой аренды, при которой собственник продает имущество (в рассматриваемом случае – автомобиль), а потом получает этот же актив во временное пользование. При этом он в соответствии с договором должен регулярно вносить лизинговые платежи.</w:t>
      </w:r>
    </w:p>
    <w:p>
      <w:pPr>
        <w:pStyle w:val="NormalWeb"/>
        <w:shd w:val="clear" w:color="auto" w:fill="FFFFFF"/>
        <w:spacing w:beforeAutospacing="0" w:before="120" w:afterAutospacing="0" w:after="312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При внесении платежей в рамках исполнения договора возвратного лизинга гражданин в итоге должен выплатить сумму, в четыре-пять раз превышающую стоимость, за которую продал автомобиль. В случае несвоевременного внесения платежа начисляется штраф. Процентные ставки и размер неустойки при просрочке платежа по этим договорам ничем не ограничены. В подобной схеме лизинговые компании избегают соблюдения закона о потребительском кредитовании, фактически оставляя граждан без прав на их имущество, которое в отличие от кредита, находится до момента выплаты долга не в залоге, а в собственности третьего лица. В такой ситуации при отсутствии специальных гарантий для граждан даже при незначительном нарушении заемщиком обязательств по уплате лизинговых платежей потребители могут быть лишены возможности возврата своего имущества.</w:t>
      </w:r>
    </w:p>
    <w:p>
      <w:pPr>
        <w:pStyle w:val="NormalWeb"/>
        <w:shd w:val="clear" w:color="auto" w:fill="FFFFFF"/>
        <w:spacing w:beforeAutospacing="0" w:before="120" w:afterAutospacing="0" w:after="312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Важным элементом схемы является также установление заведомо заниженной стоимости транспортных средств в заключаемых договорах купли-продажи, что позволяет лишать заемщика права собственности, не выплачивая за это адекватную сумму.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1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18"/>
        </w:rPr>
        <w:t>Кроме того, в ряде случаев лизинговые компании вводят потребителей в заблуждение относительно природы сделки путем ненадлежащей рекламы финансовых услуг. Так, под видом рекламной услуги по предоставлению займа под залог транспортного средства (паспорта транспортного средства) с физическими лицами фактически заключаются договора купли-продажи и лизинга автомобиля. В результате подобных мошеннических схем граждане в конечном итоге лишаются своего имущества.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1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1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1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18"/>
        </w:rPr>
        <w:t>Чтобы обезопасить себя от заключения заведомо невыгодного договора внимательно читайте положения договора до его подписания. При наличии признаков мошеннических действий следует незамедлительно обратиться в правоохранительные органы по месту нахождения финансовой организации.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</w:r>
    </w:p>
    <w:p>
      <w:pPr>
        <w:pStyle w:val="Normal"/>
        <w:suppressAutoHyphens w:val="true"/>
        <w:spacing w:lineRule="exact" w:line="240" w:before="0" w:after="0"/>
        <w:contextualSpacing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8" w:right="707" w:header="708" w:top="765" w:footer="0" w:bottom="42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06685582"/>
    </w:sdtPr>
    <w:sdtContent>
      <w:p>
        <w:pPr>
          <w:pStyle w:val="Style21"/>
          <w:jc w:val="center"/>
          <w:rPr/>
        </w:pPr>
        <w:r>
          <w:rPr>
            <w:rFonts w:cs="Times New Roman" w:ascii="Times New Roman" w:hAnsi="Times New Roman"/>
            <w:sz w:val="28"/>
          </w:rPr>
          <w:fldChar w:fldCharType="begin"/>
        </w:r>
        <w:r>
          <w:rPr>
            <w:sz w:val="28"/>
            <w:rFonts w:cs="Times New Roman" w:ascii="Times New Roman" w:hAnsi="Times New Roman"/>
          </w:rPr>
          <w:instrText> PAGE </w:instrText>
        </w:r>
        <w:r>
          <w:rPr>
            <w:sz w:val="28"/>
            <w:rFonts w:cs="Times New Roman" w:ascii="Times New Roman" w:hAnsi="Times New Roman"/>
          </w:rPr>
          <w:fldChar w:fldCharType="separate"/>
        </w:r>
        <w:r>
          <w:rPr>
            <w:sz w:val="28"/>
            <w:rFonts w:cs="Times New Roman" w:ascii="Times New Roman" w:hAnsi="Times New Roman"/>
          </w:rPr>
          <w:t>0</w:t>
        </w:r>
        <w:r>
          <w:rPr>
            <w:sz w:val="28"/>
            <w:rFonts w:cs="Times New Roman" w:ascii="Times New Roman" w:hAnsi="Times New Roman"/>
          </w:rPr>
          <w:fldChar w:fldCharType="end"/>
        </w:r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3e08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rsid w:val="006037b7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0357c7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0357c7"/>
    <w:rPr/>
  </w:style>
  <w:style w:type="character" w:styleId="Style15" w:customStyle="1">
    <w:name w:val="Без интервала Знак"/>
    <w:basedOn w:val="DefaultParagraphFont"/>
    <w:link w:val="a8"/>
    <w:uiPriority w:val="1"/>
    <w:qFormat/>
    <w:locked/>
    <w:rsid w:val="007610cb"/>
    <w:rPr>
      <w:rFonts w:eastAsia="Calibri" w:eastAsiaTheme="minorHAnsi"/>
      <w:lang w:eastAsia="en-US"/>
    </w:rPr>
  </w:style>
  <w:style w:type="character" w:styleId="ConsPlusNormal" w:customStyle="1">
    <w:name w:val="ConsPlusNormal Знак"/>
    <w:link w:val="ConsPlusNormal"/>
    <w:qFormat/>
    <w:locked/>
    <w:rsid w:val="007610cb"/>
    <w:rPr>
      <w:rFonts w:ascii="Arial" w:hAnsi="Arial" w:eastAsia="Times New Roman" w:cs="Arial"/>
      <w:sz w:val="20"/>
      <w:szCs w:val="20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6037b7"/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Header"/>
    <w:basedOn w:val="Normal"/>
    <w:link w:val="a4"/>
    <w:uiPriority w:val="99"/>
    <w:unhideWhenUsed/>
    <w:rsid w:val="000357c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6"/>
    <w:uiPriority w:val="99"/>
    <w:semiHidden/>
    <w:unhideWhenUsed/>
    <w:rsid w:val="000357c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bf3ed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link w:val="a9"/>
    <w:uiPriority w:val="1"/>
    <w:qFormat/>
    <w:rsid w:val="007610cb"/>
    <w:pPr>
      <w:widowControl/>
      <w:bidi w:val="0"/>
      <w:spacing w:lineRule="auto" w:line="240" w:before="0" w:after="0"/>
      <w:jc w:val="left"/>
    </w:pPr>
    <w:rPr>
      <w:rFonts w:eastAsia="Calibri" w:eastAsiaTheme="minorHAnsi" w:ascii="Calibri" w:hAnsi="Calibri" w:cs=""/>
      <w:color w:val="auto"/>
      <w:kern w:val="0"/>
      <w:sz w:val="22"/>
      <w:szCs w:val="22"/>
      <w:lang w:eastAsia="en-US" w:val="ru-RU" w:bidi="ar-SA"/>
    </w:rPr>
  </w:style>
  <w:style w:type="paragraph" w:styleId="ConsPlusNormal1" w:customStyle="1">
    <w:name w:val="ConsPlusNormal"/>
    <w:link w:val="ConsPlusNormal0"/>
    <w:qFormat/>
    <w:rsid w:val="007610cb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LibreOffice/6.0.7.3$Linux_X86_64 LibreOffice_project/00m0$Build-3</Application>
  <Pages>1</Pages>
  <Words>320</Words>
  <Characters>2255</Characters>
  <CharactersWithSpaces>2568</CharactersWithSpaces>
  <Paragraphs>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2020-11-22T05:52:00Z</dcterms:created>
  <dc:creator>User3</dc:creator>
  <dc:description/>
  <dc:language>ru-RU</dc:language>
  <cp:lastModifiedBy>User3</cp:lastModifiedBy>
  <cp:lastPrinted>2020-11-22T05:52:00Z</cp:lastPrinted>
  <dcterms:modified xsi:type="dcterms:W3CDTF">2020-11-23T00:41:00Z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