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527CF3" w:rsidP="001D41DC">
      <w:pPr>
        <w:rPr>
          <w:bCs/>
          <w:szCs w:val="24"/>
        </w:rPr>
      </w:pP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Pr="00310ACD">
        <w:t>государственны</w:t>
      </w:r>
      <w:r w:rsidR="0073770D" w:rsidRPr="00310ACD">
        <w:t>е</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12августа2002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коррупцииот 23декабря2010 г. (протокол № 21).</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00AD71EF" w:rsidRPr="00310ACD">
        <w:t>служаще</w:t>
      </w:r>
      <w:r w:rsidR="002C7C64" w:rsidRPr="00310ACD">
        <w:t xml:space="preserve">мурекомендуется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 xml:space="preserve">миморально-этическими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bookmarkStart w:id="0" w:name="_GoBack"/>
      <w:bookmarkEnd w:id="0"/>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7B7" w:rsidRDefault="003327B7" w:rsidP="001F7781">
      <w:r>
        <w:separator/>
      </w:r>
    </w:p>
  </w:endnote>
  <w:endnote w:type="continuationSeparator" w:id="1">
    <w:p w:rsidR="003327B7" w:rsidRDefault="003327B7"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7B7" w:rsidRDefault="003327B7" w:rsidP="001F7781">
      <w:r>
        <w:separator/>
      </w:r>
    </w:p>
  </w:footnote>
  <w:footnote w:type="continuationSeparator" w:id="1">
    <w:p w:rsidR="003327B7" w:rsidRDefault="003327B7"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2444C2">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922FFA">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444C2"/>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27B7"/>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0F99"/>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2FFA"/>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C6139-8073-4CFD-B9A2-AAB381EB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User</cp:lastModifiedBy>
  <cp:revision>2</cp:revision>
  <cp:lastPrinted>2017-10-05T09:14:00Z</cp:lastPrinted>
  <dcterms:created xsi:type="dcterms:W3CDTF">2019-06-05T10:13:00Z</dcterms:created>
  <dcterms:modified xsi:type="dcterms:W3CDTF">2019-06-05T10:13:00Z</dcterms:modified>
</cp:coreProperties>
</file>